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0848" w14:textId="5DAD223F" w:rsidR="00753559" w:rsidRPr="00753559" w:rsidRDefault="00753559" w:rsidP="00753559">
      <w:pPr>
        <w:autoSpaceDE w:val="0"/>
        <w:autoSpaceDN w:val="0"/>
        <w:adjustRightInd w:val="0"/>
        <w:jc w:val="right"/>
        <w:rPr>
          <w:rFonts w:ascii="Arial" w:hAnsi="Arial" w:cs="Arial"/>
          <w:b/>
          <w:bCs/>
          <w:color w:val="000000"/>
          <w:sz w:val="24"/>
          <w:szCs w:val="24"/>
          <w:lang w:val="en-US"/>
        </w:rPr>
      </w:pPr>
      <w:r w:rsidRPr="00753559">
        <w:rPr>
          <w:rFonts w:ascii="Arial" w:hAnsi="Arial" w:cs="Arial"/>
          <w:b/>
          <w:bCs/>
          <w:color w:val="000000"/>
          <w:sz w:val="24"/>
          <w:szCs w:val="24"/>
          <w:lang w:val="en-US"/>
        </w:rPr>
        <w:t>APPENDIX</w:t>
      </w:r>
      <w:r w:rsidR="00655798">
        <w:rPr>
          <w:rFonts w:ascii="Arial" w:hAnsi="Arial" w:cs="Arial"/>
          <w:b/>
          <w:bCs/>
          <w:color w:val="000000"/>
          <w:sz w:val="24"/>
          <w:szCs w:val="24"/>
          <w:lang w:val="en-US"/>
        </w:rPr>
        <w:t xml:space="preserve"> A</w:t>
      </w:r>
      <w:bookmarkStart w:id="0" w:name="_GoBack"/>
      <w:bookmarkEnd w:id="0"/>
    </w:p>
    <w:p w14:paraId="7FC67B95" w14:textId="77777777" w:rsidR="00753559" w:rsidRPr="00753559" w:rsidRDefault="00753559" w:rsidP="00753559">
      <w:pPr>
        <w:autoSpaceDE w:val="0"/>
        <w:autoSpaceDN w:val="0"/>
        <w:adjustRightInd w:val="0"/>
        <w:rPr>
          <w:rFonts w:ascii="Arial" w:hAnsi="Arial" w:cs="Arial"/>
          <w:b/>
          <w:bCs/>
          <w:color w:val="000000"/>
          <w:sz w:val="24"/>
          <w:szCs w:val="24"/>
          <w:lang w:val="en-US"/>
        </w:rPr>
      </w:pPr>
    </w:p>
    <w:p w14:paraId="7C8003A1" w14:textId="77777777" w:rsidR="00753559" w:rsidRPr="004F150D" w:rsidRDefault="00753559" w:rsidP="00753559">
      <w:pPr>
        <w:autoSpaceDE w:val="0"/>
        <w:autoSpaceDN w:val="0"/>
        <w:adjustRightInd w:val="0"/>
        <w:rPr>
          <w:rFonts w:ascii="Arial" w:hAnsi="Arial" w:cs="Arial"/>
          <w:color w:val="000000"/>
          <w:sz w:val="28"/>
          <w:szCs w:val="28"/>
          <w:lang w:val="en-US"/>
        </w:rPr>
      </w:pPr>
      <w:r w:rsidRPr="004F150D">
        <w:rPr>
          <w:rFonts w:ascii="Arial" w:hAnsi="Arial" w:cs="Arial"/>
          <w:b/>
          <w:bCs/>
          <w:color w:val="000000"/>
          <w:sz w:val="28"/>
          <w:szCs w:val="28"/>
          <w:lang w:val="en-US"/>
        </w:rPr>
        <w:t>Extracts from Thomas review</w:t>
      </w:r>
    </w:p>
    <w:p w14:paraId="5618251B" w14:textId="77777777" w:rsidR="00753559" w:rsidRPr="00753559" w:rsidRDefault="00753559" w:rsidP="00753559">
      <w:pPr>
        <w:autoSpaceDE w:val="0"/>
        <w:autoSpaceDN w:val="0"/>
        <w:adjustRightInd w:val="0"/>
        <w:rPr>
          <w:rFonts w:ascii="Arial" w:hAnsi="Arial" w:cs="Arial"/>
          <w:color w:val="000000"/>
          <w:sz w:val="23"/>
          <w:szCs w:val="23"/>
          <w:lang w:val="en-US"/>
        </w:rPr>
      </w:pPr>
    </w:p>
    <w:p w14:paraId="7754731E" w14:textId="77777777" w:rsidR="00753559" w:rsidRPr="004F150D" w:rsidRDefault="00753559" w:rsidP="00753559">
      <w:pPr>
        <w:autoSpaceDE w:val="0"/>
        <w:autoSpaceDN w:val="0"/>
        <w:adjustRightInd w:val="0"/>
        <w:rPr>
          <w:rFonts w:ascii="Arial" w:hAnsi="Arial" w:cs="Arial"/>
          <w:i/>
          <w:color w:val="000000"/>
          <w:lang w:val="en-US"/>
        </w:rPr>
      </w:pPr>
      <w:r w:rsidRPr="004F150D">
        <w:rPr>
          <w:rFonts w:ascii="Arial" w:hAnsi="Arial" w:cs="Arial"/>
          <w:i/>
          <w:color w:val="000000"/>
          <w:lang w:val="en-US"/>
        </w:rPr>
        <w:t>These extracts are from the executive summary and comprise the priorities and specific recommendations that are directly relevant to this report.  The original numbering has been maintained.</w:t>
      </w:r>
    </w:p>
    <w:p w14:paraId="7DD13ED4" w14:textId="77777777" w:rsidR="00753559" w:rsidRPr="004F150D" w:rsidRDefault="00753559" w:rsidP="00753559">
      <w:pPr>
        <w:autoSpaceDE w:val="0"/>
        <w:autoSpaceDN w:val="0"/>
        <w:adjustRightInd w:val="0"/>
        <w:rPr>
          <w:rFonts w:ascii="Arial" w:hAnsi="Arial" w:cs="Arial"/>
          <w:color w:val="000000"/>
          <w:lang w:val="en-US"/>
        </w:rPr>
      </w:pPr>
    </w:p>
    <w:p w14:paraId="5F6451CF" w14:textId="77777777" w:rsidR="00753559" w:rsidRPr="004F150D" w:rsidRDefault="00753559" w:rsidP="00753559">
      <w:pPr>
        <w:autoSpaceDE w:val="0"/>
        <w:autoSpaceDN w:val="0"/>
        <w:adjustRightInd w:val="0"/>
        <w:rPr>
          <w:rFonts w:ascii="Arial" w:hAnsi="Arial" w:cs="Arial"/>
          <w:b/>
          <w:color w:val="000000"/>
          <w:lang w:val="en-US"/>
        </w:rPr>
      </w:pPr>
      <w:r w:rsidRPr="004F150D">
        <w:rPr>
          <w:rFonts w:ascii="Arial" w:hAnsi="Arial" w:cs="Arial"/>
          <w:b/>
          <w:color w:val="000000"/>
          <w:lang w:val="en-US"/>
        </w:rPr>
        <w:t>Priorities</w:t>
      </w:r>
    </w:p>
    <w:p w14:paraId="26A369B6" w14:textId="77777777" w:rsidR="00753559" w:rsidRPr="004F150D" w:rsidRDefault="00753559" w:rsidP="00753559">
      <w:pPr>
        <w:autoSpaceDE w:val="0"/>
        <w:autoSpaceDN w:val="0"/>
        <w:adjustRightInd w:val="0"/>
        <w:rPr>
          <w:rFonts w:ascii="Arial" w:hAnsi="Arial" w:cs="Arial"/>
          <w:color w:val="000000"/>
          <w:lang w:val="en-US"/>
        </w:rPr>
      </w:pPr>
    </w:p>
    <w:p w14:paraId="661B3A17" w14:textId="77777777" w:rsidR="00753559" w:rsidRPr="004F150D" w:rsidRDefault="00753559" w:rsidP="00753559">
      <w:pPr>
        <w:autoSpaceDE w:val="0"/>
        <w:autoSpaceDN w:val="0"/>
        <w:adjustRightInd w:val="0"/>
        <w:rPr>
          <w:rFonts w:ascii="Arial" w:hAnsi="Arial" w:cs="Arial"/>
          <w:color w:val="000000"/>
          <w:lang w:val="en-US"/>
        </w:rPr>
      </w:pPr>
      <w:r w:rsidRPr="004F150D">
        <w:rPr>
          <w:rFonts w:ascii="Arial" w:hAnsi="Arial" w:cs="Arial"/>
          <w:color w:val="000000"/>
          <w:lang w:val="en-US"/>
        </w:rPr>
        <w:t xml:space="preserve">III. Conditions of service are currently documented in the Green, Grey and Gold books. My review makes no recommendation as to the Green Book. However, I find very little value in capturing conditions of service in the </w:t>
      </w:r>
      <w:r w:rsidRPr="004F150D">
        <w:rPr>
          <w:rFonts w:ascii="Arial" w:hAnsi="Arial" w:cs="Arial"/>
          <w:b/>
          <w:bCs/>
          <w:color w:val="000000"/>
          <w:lang w:val="en-US"/>
        </w:rPr>
        <w:t>Gold and Grey Books</w:t>
      </w:r>
      <w:r w:rsidRPr="004F150D">
        <w:rPr>
          <w:rFonts w:ascii="Arial" w:hAnsi="Arial" w:cs="Arial"/>
          <w:color w:val="000000"/>
          <w:lang w:val="en-US"/>
        </w:rPr>
        <w:t xml:space="preserve">. I found the Gold Book to be redundant, unread and unused in virtually every authority I visited or which responded to my questionnaire. I recommend that the Gold Book is discontinued and that the employers and representative bodies implement this recommendation as soon as is reasonably practicable. The Grey Book is held by fire fighters as a key foundation or anchor for their conditions of service, even though in most fire and rescue services there are local derivations away from the national provisions contained within it. Employers repeatedly pointed out to me either that the Grey Book was a barrier to alignment of conditions of service with local delivery or that they had managed to change locally the conditions of service despite the Grey Book. Either way it appears to me that the Grey Book should be slimmed down. Consideration should be given by the employers, in consultation with representative bodies, as to replacing the Grey Book with a contract of employment at the local level, supported by an employee handbook. Base Pay (see section on training) should remain national but all other conditions of service should have a more regional/local </w:t>
      </w:r>
      <w:proofErr w:type="spellStart"/>
      <w:r w:rsidRPr="004F150D">
        <w:rPr>
          <w:rFonts w:ascii="Arial" w:hAnsi="Arial" w:cs="Arial"/>
          <w:color w:val="000000"/>
          <w:lang w:val="en-US"/>
        </w:rPr>
        <w:t>flavour</w:t>
      </w:r>
      <w:proofErr w:type="spellEnd"/>
      <w:r w:rsidRPr="004F150D">
        <w:rPr>
          <w:rFonts w:ascii="Arial" w:hAnsi="Arial" w:cs="Arial"/>
          <w:color w:val="000000"/>
          <w:lang w:val="en-US"/>
        </w:rPr>
        <w:t xml:space="preserve"> and I recommend that the national joint council takes action to explore how such a system could operate in practical terms. </w:t>
      </w:r>
    </w:p>
    <w:p w14:paraId="3D906F6E" w14:textId="77777777" w:rsidR="00753559" w:rsidRPr="004F150D" w:rsidRDefault="00753559" w:rsidP="00753559">
      <w:pPr>
        <w:autoSpaceDE w:val="0"/>
        <w:autoSpaceDN w:val="0"/>
        <w:adjustRightInd w:val="0"/>
        <w:rPr>
          <w:rFonts w:ascii="Arial" w:hAnsi="Arial" w:cs="Arial"/>
          <w:color w:val="000000"/>
          <w:lang w:val="en-US"/>
        </w:rPr>
      </w:pPr>
    </w:p>
    <w:p w14:paraId="690F9817" w14:textId="77777777" w:rsidR="00753559" w:rsidRPr="004F150D" w:rsidRDefault="00753559" w:rsidP="00753559">
      <w:pPr>
        <w:autoSpaceDE w:val="0"/>
        <w:autoSpaceDN w:val="0"/>
        <w:adjustRightInd w:val="0"/>
        <w:rPr>
          <w:rFonts w:ascii="Arial" w:hAnsi="Arial" w:cs="Arial"/>
          <w:color w:val="000000"/>
          <w:lang w:val="en-US"/>
        </w:rPr>
      </w:pPr>
      <w:r w:rsidRPr="004F150D">
        <w:rPr>
          <w:rFonts w:ascii="Arial" w:hAnsi="Arial" w:cs="Arial"/>
          <w:color w:val="000000"/>
          <w:lang w:val="en-US"/>
        </w:rPr>
        <w:t xml:space="preserve">IV. The description of </w:t>
      </w:r>
      <w:r w:rsidRPr="004F150D">
        <w:rPr>
          <w:rFonts w:ascii="Arial" w:hAnsi="Arial" w:cs="Arial"/>
          <w:b/>
          <w:bCs/>
          <w:color w:val="000000"/>
          <w:lang w:val="en-US"/>
        </w:rPr>
        <w:t xml:space="preserve">role maps and duty systems </w:t>
      </w:r>
      <w:r w:rsidRPr="004F150D">
        <w:rPr>
          <w:rFonts w:ascii="Arial" w:hAnsi="Arial" w:cs="Arial"/>
          <w:color w:val="000000"/>
          <w:lang w:val="en-US"/>
        </w:rPr>
        <w:t xml:space="preserve">in the Grey Book creates inflexibility in the deployment of fire fighters in support of the local Integrated Risk Management Plan. Roles maps are too restrictive and duty systems within the Grey Book in many fires and rescue services do not reflect the changing activity from response to prevention. Both the list of role maps and the pre-determined duty systems should be removed from the Grey Book by the employers, in consultation with representative bodies. </w:t>
      </w:r>
    </w:p>
    <w:p w14:paraId="164A8EFD" w14:textId="77777777" w:rsidR="00753559" w:rsidRPr="004F150D" w:rsidRDefault="00753559" w:rsidP="00753559">
      <w:pPr>
        <w:autoSpaceDE w:val="0"/>
        <w:autoSpaceDN w:val="0"/>
        <w:adjustRightInd w:val="0"/>
        <w:rPr>
          <w:rFonts w:ascii="Arial" w:hAnsi="Arial" w:cs="Arial"/>
          <w:color w:val="000000"/>
          <w:lang w:val="en-US"/>
        </w:rPr>
      </w:pPr>
    </w:p>
    <w:p w14:paraId="455C3137" w14:textId="77777777" w:rsidR="00753559" w:rsidRPr="004F150D" w:rsidRDefault="00753559" w:rsidP="00753559">
      <w:pPr>
        <w:autoSpaceDE w:val="0"/>
        <w:autoSpaceDN w:val="0"/>
        <w:adjustRightInd w:val="0"/>
        <w:rPr>
          <w:rFonts w:ascii="Arial" w:hAnsi="Arial" w:cs="Arial"/>
          <w:b/>
          <w:color w:val="000000"/>
          <w:lang w:val="en-US"/>
        </w:rPr>
      </w:pPr>
      <w:r w:rsidRPr="004F150D">
        <w:rPr>
          <w:rFonts w:ascii="Arial" w:hAnsi="Arial" w:cs="Arial"/>
          <w:b/>
          <w:color w:val="000000"/>
          <w:lang w:val="en-US"/>
        </w:rPr>
        <w:t>Recommendations</w:t>
      </w:r>
    </w:p>
    <w:p w14:paraId="7CD8D262" w14:textId="77777777" w:rsidR="00753559" w:rsidRPr="004F150D" w:rsidRDefault="00753559" w:rsidP="00753559">
      <w:pPr>
        <w:autoSpaceDE w:val="0"/>
        <w:autoSpaceDN w:val="0"/>
        <w:adjustRightInd w:val="0"/>
        <w:rPr>
          <w:rFonts w:ascii="Arial" w:hAnsi="Arial" w:cs="Arial"/>
          <w:color w:val="000000"/>
          <w:lang w:val="en-US"/>
        </w:rPr>
      </w:pPr>
    </w:p>
    <w:p w14:paraId="250BFDC7" w14:textId="0F799869" w:rsidR="00753559" w:rsidRPr="004F150D" w:rsidRDefault="00753559" w:rsidP="00753559">
      <w:pPr>
        <w:autoSpaceDE w:val="0"/>
        <w:autoSpaceDN w:val="0"/>
        <w:adjustRightInd w:val="0"/>
        <w:rPr>
          <w:rFonts w:ascii="Arial" w:hAnsi="Arial" w:cs="Arial"/>
          <w:color w:val="000000"/>
          <w:lang w:val="en-US"/>
        </w:rPr>
      </w:pPr>
      <w:r w:rsidRPr="004F150D">
        <w:rPr>
          <w:rFonts w:ascii="Arial" w:hAnsi="Arial" w:cs="Arial"/>
          <w:b/>
          <w:bCs/>
          <w:color w:val="000000"/>
          <w:lang w:val="en-US"/>
        </w:rPr>
        <w:t xml:space="preserve">Documented conditions of service (section 5) </w:t>
      </w:r>
    </w:p>
    <w:p w14:paraId="58137EA7" w14:textId="77777777" w:rsidR="00753559" w:rsidRPr="004F150D" w:rsidRDefault="00753559" w:rsidP="00753559">
      <w:pPr>
        <w:autoSpaceDE w:val="0"/>
        <w:autoSpaceDN w:val="0"/>
        <w:adjustRightInd w:val="0"/>
        <w:rPr>
          <w:rFonts w:ascii="Arial" w:hAnsi="Arial" w:cs="Arial"/>
          <w:color w:val="000000"/>
          <w:lang w:val="en-US"/>
        </w:rPr>
      </w:pPr>
    </w:p>
    <w:p w14:paraId="7EEEB1D1" w14:textId="77777777" w:rsidR="00753559" w:rsidRPr="004F150D" w:rsidRDefault="00753559" w:rsidP="00753559">
      <w:pPr>
        <w:autoSpaceDE w:val="0"/>
        <w:autoSpaceDN w:val="0"/>
        <w:adjustRightInd w:val="0"/>
        <w:spacing w:after="166"/>
        <w:rPr>
          <w:rFonts w:ascii="Arial" w:hAnsi="Arial" w:cs="Arial"/>
          <w:color w:val="000000"/>
          <w:lang w:val="en-US"/>
        </w:rPr>
      </w:pPr>
      <w:r w:rsidRPr="004F150D">
        <w:rPr>
          <w:rFonts w:ascii="Arial" w:hAnsi="Arial" w:cs="Arial"/>
          <w:color w:val="000000"/>
          <w:lang w:val="en-US"/>
        </w:rPr>
        <w:t xml:space="preserve">13. Slim down and </w:t>
      </w:r>
      <w:proofErr w:type="spellStart"/>
      <w:r w:rsidRPr="004F150D">
        <w:rPr>
          <w:rFonts w:ascii="Arial" w:hAnsi="Arial" w:cs="Arial"/>
          <w:color w:val="000000"/>
          <w:lang w:val="en-US"/>
        </w:rPr>
        <w:t>modernise</w:t>
      </w:r>
      <w:proofErr w:type="spellEnd"/>
      <w:r w:rsidRPr="004F150D">
        <w:rPr>
          <w:rFonts w:ascii="Arial" w:hAnsi="Arial" w:cs="Arial"/>
          <w:color w:val="000000"/>
          <w:lang w:val="en-US"/>
        </w:rPr>
        <w:t xml:space="preserve"> the Grey Book, removing duty systems and reference to role maps and national occupational standards and replace with contracts of employment. </w:t>
      </w:r>
    </w:p>
    <w:p w14:paraId="2628A75F" w14:textId="77777777" w:rsidR="00753559" w:rsidRPr="004F150D" w:rsidRDefault="00753559" w:rsidP="00753559">
      <w:pPr>
        <w:autoSpaceDE w:val="0"/>
        <w:autoSpaceDN w:val="0"/>
        <w:adjustRightInd w:val="0"/>
        <w:spacing w:after="166"/>
        <w:rPr>
          <w:rFonts w:ascii="Arial" w:hAnsi="Arial" w:cs="Arial"/>
          <w:color w:val="000000"/>
          <w:lang w:val="en-US"/>
        </w:rPr>
      </w:pPr>
      <w:r w:rsidRPr="004F150D">
        <w:rPr>
          <w:rFonts w:ascii="Arial" w:hAnsi="Arial" w:cs="Arial"/>
          <w:color w:val="000000"/>
          <w:lang w:val="en-US"/>
        </w:rPr>
        <w:t xml:space="preserve">14. Minimum night time shift hours should be removed from the Grey Book </w:t>
      </w:r>
    </w:p>
    <w:p w14:paraId="00A9B883" w14:textId="77777777" w:rsidR="00753559" w:rsidRPr="004F150D" w:rsidRDefault="00753559" w:rsidP="00753559">
      <w:pPr>
        <w:autoSpaceDE w:val="0"/>
        <w:autoSpaceDN w:val="0"/>
        <w:adjustRightInd w:val="0"/>
        <w:spacing w:after="166"/>
        <w:rPr>
          <w:rFonts w:ascii="Arial" w:hAnsi="Arial" w:cs="Arial"/>
          <w:color w:val="000000"/>
          <w:lang w:val="en-US"/>
        </w:rPr>
      </w:pPr>
      <w:r w:rsidRPr="004F150D">
        <w:rPr>
          <w:rFonts w:ascii="Arial" w:hAnsi="Arial" w:cs="Arial"/>
          <w:color w:val="000000"/>
          <w:lang w:val="en-US"/>
        </w:rPr>
        <w:lastRenderedPageBreak/>
        <w:t xml:space="preserve">15. Disagreements regarding additional payments, collaborations or implementation of new technologies and working practices should be resolved locally without resort to the national advisory panels. </w:t>
      </w:r>
    </w:p>
    <w:p w14:paraId="0A183AA2" w14:textId="77777777" w:rsidR="00753559" w:rsidRPr="004F150D" w:rsidRDefault="00753559" w:rsidP="00753559">
      <w:pPr>
        <w:autoSpaceDE w:val="0"/>
        <w:autoSpaceDN w:val="0"/>
        <w:adjustRightInd w:val="0"/>
        <w:spacing w:after="166"/>
        <w:rPr>
          <w:rFonts w:ascii="Arial" w:hAnsi="Arial" w:cs="Arial"/>
          <w:color w:val="000000"/>
          <w:lang w:val="en-US"/>
        </w:rPr>
      </w:pPr>
      <w:r w:rsidRPr="004F150D">
        <w:rPr>
          <w:rFonts w:ascii="Arial" w:hAnsi="Arial" w:cs="Arial"/>
          <w:color w:val="000000"/>
          <w:lang w:val="en-US"/>
        </w:rPr>
        <w:t xml:space="preserve">16. The national employers, government and employee representatives should, in support of establishing a changed culture (as detailed earlier), meet and agree a re-defined national joint protocol on industrial relations. </w:t>
      </w:r>
    </w:p>
    <w:p w14:paraId="5E8DFF70" w14:textId="77777777" w:rsidR="00753559" w:rsidRPr="004F150D" w:rsidRDefault="00753559" w:rsidP="00753559">
      <w:pPr>
        <w:autoSpaceDE w:val="0"/>
        <w:autoSpaceDN w:val="0"/>
        <w:adjustRightInd w:val="0"/>
        <w:rPr>
          <w:rFonts w:ascii="Arial" w:hAnsi="Arial" w:cs="Arial"/>
          <w:color w:val="000000"/>
          <w:lang w:val="en-US"/>
        </w:rPr>
      </w:pPr>
      <w:r w:rsidRPr="004F150D">
        <w:rPr>
          <w:rFonts w:ascii="Arial" w:hAnsi="Arial" w:cs="Arial"/>
          <w:color w:val="000000"/>
          <w:lang w:val="en-US"/>
        </w:rPr>
        <w:t xml:space="preserve">17. The ability to compulsorily move an individual from the flexible duty system should be introduced. </w:t>
      </w:r>
    </w:p>
    <w:p w14:paraId="088D65F0" w14:textId="77777777" w:rsidR="00753559" w:rsidRPr="004F150D" w:rsidRDefault="00753559" w:rsidP="00753559">
      <w:pPr>
        <w:autoSpaceDE w:val="0"/>
        <w:autoSpaceDN w:val="0"/>
        <w:adjustRightInd w:val="0"/>
        <w:rPr>
          <w:rFonts w:ascii="Arial" w:hAnsi="Arial" w:cs="Arial"/>
          <w:color w:val="000000"/>
          <w:lang w:val="en-US"/>
        </w:rPr>
      </w:pPr>
    </w:p>
    <w:p w14:paraId="338C55BF" w14:textId="77777777" w:rsidR="00753559" w:rsidRPr="004F150D" w:rsidRDefault="00753559" w:rsidP="00753559">
      <w:pPr>
        <w:autoSpaceDE w:val="0"/>
        <w:autoSpaceDN w:val="0"/>
        <w:adjustRightInd w:val="0"/>
        <w:rPr>
          <w:rFonts w:ascii="Arial" w:hAnsi="Arial" w:cs="Arial"/>
          <w:color w:val="000000"/>
          <w:lang w:val="en-US"/>
        </w:rPr>
      </w:pPr>
      <w:r w:rsidRPr="004F150D">
        <w:rPr>
          <w:rFonts w:ascii="Arial" w:hAnsi="Arial" w:cs="Arial"/>
          <w:color w:val="000000"/>
          <w:lang w:val="en-US"/>
        </w:rPr>
        <w:t xml:space="preserve">• </w:t>
      </w:r>
      <w:r w:rsidRPr="004F150D">
        <w:rPr>
          <w:rFonts w:ascii="Arial" w:hAnsi="Arial" w:cs="Arial"/>
          <w:b/>
          <w:bCs/>
          <w:color w:val="000000"/>
          <w:lang w:val="en-US"/>
        </w:rPr>
        <w:t xml:space="preserve">Industrial relations (section 6) </w:t>
      </w:r>
    </w:p>
    <w:p w14:paraId="29C244A6" w14:textId="77777777" w:rsidR="00753559" w:rsidRPr="004F150D" w:rsidRDefault="00753559" w:rsidP="00753559">
      <w:pPr>
        <w:autoSpaceDE w:val="0"/>
        <w:autoSpaceDN w:val="0"/>
        <w:adjustRightInd w:val="0"/>
        <w:spacing w:after="166"/>
        <w:rPr>
          <w:rFonts w:ascii="Arial" w:hAnsi="Arial" w:cs="Arial"/>
          <w:color w:val="000000"/>
          <w:lang w:val="en-US"/>
        </w:rPr>
      </w:pPr>
    </w:p>
    <w:p w14:paraId="1CD059FE" w14:textId="77777777" w:rsidR="00753559" w:rsidRPr="004F150D" w:rsidRDefault="00753559" w:rsidP="00753559">
      <w:pPr>
        <w:autoSpaceDE w:val="0"/>
        <w:autoSpaceDN w:val="0"/>
        <w:adjustRightInd w:val="0"/>
        <w:spacing w:after="166"/>
        <w:rPr>
          <w:rFonts w:ascii="Arial" w:hAnsi="Arial" w:cs="Arial"/>
          <w:color w:val="000000"/>
          <w:lang w:val="en-US"/>
        </w:rPr>
      </w:pPr>
      <w:r w:rsidRPr="004F150D">
        <w:rPr>
          <w:rFonts w:ascii="Arial" w:hAnsi="Arial" w:cs="Arial"/>
          <w:color w:val="000000"/>
          <w:lang w:val="en-US"/>
        </w:rPr>
        <w:t xml:space="preserve">18. The National Joint Council should be retained for the purposes of national pay bargaining for basic pay whilst reforming itself to represent employers and employees on a more local basis for all other conditions of service including incremental pay for acquiring competences beyond ‘safe to ride’. </w:t>
      </w:r>
    </w:p>
    <w:p w14:paraId="001915E8" w14:textId="77777777" w:rsidR="00753559" w:rsidRPr="004F150D" w:rsidRDefault="00753559" w:rsidP="00753559">
      <w:pPr>
        <w:autoSpaceDE w:val="0"/>
        <w:autoSpaceDN w:val="0"/>
        <w:adjustRightInd w:val="0"/>
        <w:spacing w:after="166"/>
        <w:rPr>
          <w:rFonts w:ascii="Arial" w:hAnsi="Arial" w:cs="Arial"/>
          <w:color w:val="000000"/>
          <w:lang w:val="en-US"/>
        </w:rPr>
      </w:pPr>
      <w:r w:rsidRPr="004F150D">
        <w:rPr>
          <w:rFonts w:ascii="Arial" w:hAnsi="Arial" w:cs="Arial"/>
          <w:color w:val="000000"/>
          <w:lang w:val="en-US"/>
        </w:rPr>
        <w:t xml:space="preserve">19. The National Joint Council should consider operating regionally to reflect the requirements of the different fire authorities whilst retaining a national umbrella with respect to basic pay </w:t>
      </w:r>
    </w:p>
    <w:p w14:paraId="5D6A1456" w14:textId="77777777" w:rsidR="00753559" w:rsidRPr="004F150D" w:rsidRDefault="00753559" w:rsidP="00753559">
      <w:pPr>
        <w:autoSpaceDE w:val="0"/>
        <w:autoSpaceDN w:val="0"/>
        <w:adjustRightInd w:val="0"/>
        <w:spacing w:after="166"/>
        <w:rPr>
          <w:rFonts w:ascii="Arial" w:hAnsi="Arial" w:cs="Arial"/>
          <w:color w:val="000000"/>
          <w:lang w:val="en-US"/>
        </w:rPr>
      </w:pPr>
      <w:r w:rsidRPr="004F150D">
        <w:rPr>
          <w:rFonts w:ascii="Arial" w:hAnsi="Arial" w:cs="Arial"/>
          <w:color w:val="000000"/>
          <w:lang w:val="en-US"/>
        </w:rPr>
        <w:t xml:space="preserve">20. Remove Technical Advisory Panels and Resolution Advisory Panel and replace with a direct to ACAS approach. Fire and Rescue Authorities are undertaking a significant amount of local negotiation as they agree positions out with the Grey Book locally and this will not significantly increase workload or cost – in fact the Knight review suggested that local negotiations save money. </w:t>
      </w:r>
    </w:p>
    <w:p w14:paraId="499B03C8" w14:textId="77777777" w:rsidR="00753559" w:rsidRPr="004F150D" w:rsidRDefault="00753559" w:rsidP="00F90F24">
      <w:pPr>
        <w:numPr>
          <w:ilvl w:val="0"/>
          <w:numId w:val="2"/>
        </w:numPr>
        <w:autoSpaceDE w:val="0"/>
        <w:autoSpaceDN w:val="0"/>
        <w:adjustRightInd w:val="0"/>
        <w:ind w:left="142" w:hanging="142"/>
        <w:rPr>
          <w:rFonts w:ascii="Arial" w:hAnsi="Arial" w:cs="Arial"/>
          <w:b/>
          <w:color w:val="000000"/>
          <w:lang w:val="en-US"/>
        </w:rPr>
      </w:pPr>
      <w:r w:rsidRPr="004F150D">
        <w:rPr>
          <w:rFonts w:ascii="Arial" w:hAnsi="Arial" w:cs="Arial"/>
          <w:color w:val="000000"/>
          <w:lang w:val="en-US"/>
        </w:rPr>
        <w:t xml:space="preserve"> </w:t>
      </w:r>
      <w:r w:rsidRPr="004F150D">
        <w:rPr>
          <w:rFonts w:ascii="Arial" w:hAnsi="Arial" w:cs="Arial"/>
          <w:b/>
          <w:color w:val="000000"/>
          <w:lang w:val="en-US"/>
        </w:rPr>
        <w:t>Management of the Fire and Rescue service (section 8)</w:t>
      </w:r>
    </w:p>
    <w:p w14:paraId="5AECDD48" w14:textId="77777777" w:rsidR="00753559" w:rsidRPr="004F150D" w:rsidRDefault="00753559" w:rsidP="00753559">
      <w:pPr>
        <w:autoSpaceDE w:val="0"/>
        <w:autoSpaceDN w:val="0"/>
        <w:adjustRightInd w:val="0"/>
        <w:rPr>
          <w:rFonts w:ascii="Arial" w:hAnsi="Arial" w:cs="Arial"/>
          <w:color w:val="000000"/>
          <w:lang w:val="en-US"/>
        </w:rPr>
      </w:pPr>
    </w:p>
    <w:p w14:paraId="4BF1F3E3" w14:textId="77777777" w:rsidR="00753559" w:rsidRPr="004F150D" w:rsidRDefault="00753559" w:rsidP="00753559">
      <w:pPr>
        <w:autoSpaceDE w:val="0"/>
        <w:autoSpaceDN w:val="0"/>
        <w:adjustRightInd w:val="0"/>
        <w:spacing w:after="123"/>
        <w:rPr>
          <w:rFonts w:ascii="Arial" w:hAnsi="Arial" w:cs="Arial"/>
          <w:color w:val="000000"/>
          <w:lang w:val="en-US"/>
        </w:rPr>
      </w:pPr>
      <w:r w:rsidRPr="004F150D">
        <w:rPr>
          <w:rFonts w:ascii="Arial" w:hAnsi="Arial" w:cs="Arial"/>
          <w:color w:val="000000"/>
          <w:lang w:val="en-US"/>
        </w:rPr>
        <w:t xml:space="preserve">37. The expectation that all fire fighters attain the same, maximum, level of competency should be removed. The wide and increasing range of roles and activities undertaken by fire fighters calls for a more sophisticated alignment of capability with the activity required in support of the local Integrated Risk Management Plan than can be provided by the view that ‘a fire fighter is a fire fighter’. </w:t>
      </w:r>
    </w:p>
    <w:p w14:paraId="1C26386A" w14:textId="77777777" w:rsidR="00753559" w:rsidRPr="004F150D" w:rsidRDefault="00753559" w:rsidP="00753559">
      <w:pPr>
        <w:autoSpaceDE w:val="0"/>
        <w:autoSpaceDN w:val="0"/>
        <w:adjustRightInd w:val="0"/>
        <w:spacing w:after="123"/>
        <w:rPr>
          <w:rFonts w:ascii="Arial" w:hAnsi="Arial" w:cs="Arial"/>
          <w:color w:val="000000"/>
          <w:lang w:val="en-US"/>
        </w:rPr>
      </w:pPr>
      <w:r w:rsidRPr="004F150D">
        <w:rPr>
          <w:rFonts w:ascii="Arial" w:hAnsi="Arial" w:cs="Arial"/>
          <w:color w:val="000000"/>
          <w:lang w:val="en-US"/>
        </w:rPr>
        <w:t xml:space="preserve">38. Training and pay should reflect a ‘safe to ride’ measure – basic core skills and core pay followed by competency based increments as required (which in the event of losing that competency means that the fire fighter retains their job albeit without that competency). </w:t>
      </w:r>
    </w:p>
    <w:p w14:paraId="014EF209" w14:textId="77777777" w:rsidR="00753559" w:rsidRPr="004F150D" w:rsidRDefault="00753559" w:rsidP="00753559">
      <w:pPr>
        <w:autoSpaceDE w:val="0"/>
        <w:autoSpaceDN w:val="0"/>
        <w:adjustRightInd w:val="0"/>
        <w:spacing w:after="123"/>
        <w:rPr>
          <w:rFonts w:ascii="Arial" w:hAnsi="Arial" w:cs="Arial"/>
          <w:color w:val="000000"/>
          <w:lang w:val="en-US"/>
        </w:rPr>
      </w:pPr>
      <w:r w:rsidRPr="004F150D">
        <w:rPr>
          <w:rFonts w:ascii="Arial" w:hAnsi="Arial" w:cs="Arial"/>
          <w:color w:val="000000"/>
          <w:lang w:val="en-US"/>
        </w:rPr>
        <w:t xml:space="preserve">42. The Gold Book (conditions of service for principal officers) should be removed along with that for Brigade Managers. With pay and conditions of service agreed locally subject to the introduction of a more sophisticated job evaluation programme that better reflects job size, role complexity and other duties in a way which allows inter authority comparison. </w:t>
      </w:r>
    </w:p>
    <w:p w14:paraId="4CA7E73C" w14:textId="77777777" w:rsidR="00753559" w:rsidRPr="004F150D" w:rsidRDefault="00753559" w:rsidP="00753559"/>
    <w:p w14:paraId="605EC9D4" w14:textId="77777777" w:rsidR="00753559" w:rsidRPr="00753559" w:rsidRDefault="00753559" w:rsidP="00753559">
      <w:pPr>
        <w:spacing w:after="200" w:line="276" w:lineRule="auto"/>
        <w:jc w:val="both"/>
        <w:rPr>
          <w:rFonts w:ascii="Arial" w:eastAsia="Calibri" w:hAnsi="Arial" w:cs="Arial"/>
        </w:rPr>
      </w:pPr>
    </w:p>
    <w:p w14:paraId="2F71B7F0" w14:textId="77777777" w:rsidR="00C80A6A" w:rsidRPr="00EE127F" w:rsidRDefault="00C80A6A" w:rsidP="00C80A6A">
      <w:pPr>
        <w:jc w:val="both"/>
        <w:rPr>
          <w:rFonts w:ascii="Arial" w:hAnsi="Arial" w:cs="Arial"/>
          <w:color w:val="000000"/>
        </w:rPr>
      </w:pPr>
    </w:p>
    <w:sectPr w:rsidR="00C80A6A" w:rsidRPr="00EE127F" w:rsidSect="00D32E7C">
      <w:headerReference w:type="default" r:id="rId11"/>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0103" w14:textId="77777777" w:rsidR="00033581" w:rsidRDefault="00033581">
      <w:r>
        <w:separator/>
      </w:r>
    </w:p>
  </w:endnote>
  <w:endnote w:type="continuationSeparator" w:id="0">
    <w:p w14:paraId="66D4C355" w14:textId="77777777" w:rsidR="00033581" w:rsidRDefault="0003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B9DBA" w14:textId="77777777" w:rsidR="00033581" w:rsidRDefault="00033581">
      <w:r>
        <w:separator/>
      </w:r>
    </w:p>
  </w:footnote>
  <w:footnote w:type="continuationSeparator" w:id="0">
    <w:p w14:paraId="77A38E6D" w14:textId="77777777" w:rsidR="00033581" w:rsidRDefault="0003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75A2" w14:textId="77777777" w:rsidR="00EB02C0" w:rsidRDefault="00EB02C0"/>
  <w:p w14:paraId="4C12AAAE" w14:textId="77777777" w:rsidR="00EB02C0" w:rsidRDefault="00EB02C0"/>
  <w:tbl>
    <w:tblPr>
      <w:tblW w:w="0" w:type="auto"/>
      <w:tblLook w:val="01E0" w:firstRow="1" w:lastRow="1" w:firstColumn="1" w:lastColumn="1" w:noHBand="0" w:noVBand="0"/>
    </w:tblPr>
    <w:tblGrid>
      <w:gridCol w:w="5778"/>
      <w:gridCol w:w="3509"/>
    </w:tblGrid>
    <w:tr w:rsidR="00033581" w:rsidRPr="00772F4A" w14:paraId="6F5C9E67" w14:textId="77777777" w:rsidTr="00EB02C0">
      <w:tc>
        <w:tcPr>
          <w:tcW w:w="5778" w:type="dxa"/>
          <w:vMerge w:val="restart"/>
          <w:shd w:val="clear" w:color="auto" w:fill="auto"/>
          <w:hideMark/>
        </w:tcPr>
        <w:p w14:paraId="0D10ED44" w14:textId="77777777" w:rsidR="00033581" w:rsidRDefault="00033581" w:rsidP="00772F4A">
          <w:pPr>
            <w:pStyle w:val="Header"/>
          </w:pPr>
          <w:r>
            <w:rPr>
              <w:noProof/>
              <w:lang w:eastAsia="en-GB"/>
            </w:rPr>
            <w:drawing>
              <wp:inline distT="0" distB="0" distL="0" distR="0" wp14:anchorId="2E69FC2B" wp14:editId="32FBCBC6">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5D6B1049" w14:textId="77777777" w:rsidR="00033581" w:rsidRPr="00C23A63" w:rsidRDefault="00033581" w:rsidP="009D4A1C">
          <w:pPr>
            <w:pStyle w:val="Header"/>
            <w:rPr>
              <w:b/>
            </w:rPr>
          </w:pPr>
          <w:r w:rsidRPr="00C23A63">
            <w:rPr>
              <w:rFonts w:ascii="Arial" w:hAnsi="Arial" w:cs="Arial"/>
              <w:b/>
            </w:rPr>
            <w:t xml:space="preserve">Fire </w:t>
          </w:r>
          <w:r>
            <w:rPr>
              <w:rFonts w:ascii="Arial" w:hAnsi="Arial" w:cs="Arial"/>
              <w:b/>
            </w:rPr>
            <w:t>Services Management Committee</w:t>
          </w:r>
          <w:r w:rsidRPr="00C23A63">
            <w:rPr>
              <w:rFonts w:ascii="Arial" w:hAnsi="Arial" w:cs="Arial"/>
              <w:b/>
            </w:rPr>
            <w:t xml:space="preserve"> </w:t>
          </w:r>
        </w:p>
      </w:tc>
    </w:tr>
    <w:tr w:rsidR="00033581" w:rsidRPr="00772F4A" w14:paraId="17810A59" w14:textId="77777777" w:rsidTr="00EB02C0">
      <w:trPr>
        <w:trHeight w:val="450"/>
      </w:trPr>
      <w:tc>
        <w:tcPr>
          <w:tcW w:w="0" w:type="auto"/>
          <w:vMerge/>
          <w:shd w:val="clear" w:color="auto" w:fill="auto"/>
          <w:vAlign w:val="center"/>
          <w:hideMark/>
        </w:tcPr>
        <w:p w14:paraId="4F35C61C" w14:textId="77777777" w:rsidR="00033581" w:rsidRDefault="00033581"/>
      </w:tc>
      <w:tc>
        <w:tcPr>
          <w:tcW w:w="3509" w:type="dxa"/>
          <w:shd w:val="clear" w:color="auto" w:fill="auto"/>
          <w:hideMark/>
        </w:tcPr>
        <w:p w14:paraId="5CFE0134" w14:textId="77777777" w:rsidR="00033581" w:rsidRPr="00C23A63" w:rsidRDefault="00033581" w:rsidP="00C6254D">
          <w:pPr>
            <w:pStyle w:val="Header"/>
            <w:spacing w:before="60"/>
            <w:rPr>
              <w:rFonts w:ascii="Arial" w:hAnsi="Arial" w:cs="Arial"/>
            </w:rPr>
          </w:pPr>
          <w:r>
            <w:rPr>
              <w:rFonts w:ascii="Arial" w:hAnsi="Arial" w:cs="Arial"/>
            </w:rPr>
            <w:t>27 January 2017</w:t>
          </w:r>
        </w:p>
      </w:tc>
    </w:tr>
    <w:tr w:rsidR="00033581" w:rsidRPr="00772F4A" w14:paraId="41756392" w14:textId="77777777" w:rsidTr="00EB02C0">
      <w:trPr>
        <w:trHeight w:val="450"/>
      </w:trPr>
      <w:tc>
        <w:tcPr>
          <w:tcW w:w="0" w:type="auto"/>
          <w:vMerge/>
          <w:shd w:val="clear" w:color="auto" w:fill="auto"/>
          <w:vAlign w:val="center"/>
          <w:hideMark/>
        </w:tcPr>
        <w:p w14:paraId="4C76C5BC" w14:textId="77777777" w:rsidR="00033581" w:rsidRDefault="00033581"/>
      </w:tc>
      <w:tc>
        <w:tcPr>
          <w:tcW w:w="3509" w:type="dxa"/>
          <w:shd w:val="clear" w:color="auto" w:fill="auto"/>
          <w:vAlign w:val="bottom"/>
          <w:hideMark/>
        </w:tcPr>
        <w:p w14:paraId="038C8921" w14:textId="2BF0DF4A" w:rsidR="00033581" w:rsidRPr="00C23A63" w:rsidRDefault="00033581" w:rsidP="00772F4A">
          <w:pPr>
            <w:pStyle w:val="Header"/>
            <w:spacing w:before="60"/>
            <w:rPr>
              <w:rFonts w:ascii="Arial" w:hAnsi="Arial" w:cs="Arial"/>
              <w:b/>
            </w:rPr>
          </w:pPr>
        </w:p>
      </w:tc>
    </w:tr>
  </w:tbl>
  <w:p w14:paraId="4F79B4CD" w14:textId="77777777" w:rsidR="00033581" w:rsidRPr="00043343" w:rsidRDefault="00033581"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7C74"/>
    <w:multiLevelType w:val="hybridMultilevel"/>
    <w:tmpl w:val="9DD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5B20"/>
    <w:multiLevelType w:val="multilevel"/>
    <w:tmpl w:val="510CAF2E"/>
    <w:lvl w:ilvl="0">
      <w:start w:val="3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217DCB"/>
    <w:multiLevelType w:val="multilevel"/>
    <w:tmpl w:val="5DEA3974"/>
    <w:lvl w:ilvl="0">
      <w:start w:val="1"/>
      <w:numFmt w:val="decimal"/>
      <w:lvlText w:val="%1."/>
      <w:lvlJc w:val="left"/>
      <w:pPr>
        <w:ind w:left="720"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 w15:restartNumberingAfterBreak="0">
    <w:nsid w:val="3E271CDA"/>
    <w:multiLevelType w:val="multilevel"/>
    <w:tmpl w:val="25B60954"/>
    <w:lvl w:ilvl="0">
      <w:start w:val="2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ADE3A60"/>
    <w:multiLevelType w:val="multilevel"/>
    <w:tmpl w:val="0602BA3A"/>
    <w:lvl w:ilvl="0">
      <w:start w:val="21"/>
      <w:numFmt w:val="decimal"/>
      <w:lvlText w:val="%1."/>
      <w:lvlJc w:val="left"/>
      <w:pPr>
        <w:ind w:left="72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66CC5E6A"/>
    <w:multiLevelType w:val="multilevel"/>
    <w:tmpl w:val="82D6BE30"/>
    <w:lvl w:ilvl="0">
      <w:start w:val="14"/>
      <w:numFmt w:val="decimal"/>
      <w:lvlText w:val="%1."/>
      <w:lvlJc w:val="left"/>
      <w:pPr>
        <w:ind w:left="480" w:hanging="48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764F088B"/>
    <w:multiLevelType w:val="multilevel"/>
    <w:tmpl w:val="FE00F63C"/>
    <w:lvl w:ilvl="0">
      <w:start w:val="12"/>
      <w:numFmt w:val="decimal"/>
      <w:lvlText w:val="%1."/>
      <w:lvlJc w:val="left"/>
      <w:pPr>
        <w:ind w:left="480" w:hanging="48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3529"/>
    <w:rsid w:val="000146BA"/>
    <w:rsid w:val="00014A67"/>
    <w:rsid w:val="0001706F"/>
    <w:rsid w:val="000205BB"/>
    <w:rsid w:val="0002207F"/>
    <w:rsid w:val="000226E9"/>
    <w:rsid w:val="00025696"/>
    <w:rsid w:val="00031BB8"/>
    <w:rsid w:val="00033581"/>
    <w:rsid w:val="00033C6D"/>
    <w:rsid w:val="000415B5"/>
    <w:rsid w:val="00043343"/>
    <w:rsid w:val="00043F05"/>
    <w:rsid w:val="000477C3"/>
    <w:rsid w:val="00050376"/>
    <w:rsid w:val="0005198E"/>
    <w:rsid w:val="000527E4"/>
    <w:rsid w:val="00054AB9"/>
    <w:rsid w:val="000608A1"/>
    <w:rsid w:val="000619ED"/>
    <w:rsid w:val="00063301"/>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6E93"/>
    <w:rsid w:val="000B70A7"/>
    <w:rsid w:val="000C1EFB"/>
    <w:rsid w:val="000C1F43"/>
    <w:rsid w:val="000C2CD2"/>
    <w:rsid w:val="000C2DBA"/>
    <w:rsid w:val="000C51A1"/>
    <w:rsid w:val="000C635B"/>
    <w:rsid w:val="000D2116"/>
    <w:rsid w:val="000D63A0"/>
    <w:rsid w:val="000E38E2"/>
    <w:rsid w:val="000E4B68"/>
    <w:rsid w:val="000F22A1"/>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36C26"/>
    <w:rsid w:val="001375FB"/>
    <w:rsid w:val="001402E3"/>
    <w:rsid w:val="00144D51"/>
    <w:rsid w:val="00147261"/>
    <w:rsid w:val="0014729B"/>
    <w:rsid w:val="001477C4"/>
    <w:rsid w:val="00151FA4"/>
    <w:rsid w:val="00154175"/>
    <w:rsid w:val="00154A7D"/>
    <w:rsid w:val="00157A6F"/>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C7F45"/>
    <w:rsid w:val="001D1886"/>
    <w:rsid w:val="001D3024"/>
    <w:rsid w:val="001D73F2"/>
    <w:rsid w:val="001E0CB8"/>
    <w:rsid w:val="001E29A8"/>
    <w:rsid w:val="001E64D3"/>
    <w:rsid w:val="001E7BD6"/>
    <w:rsid w:val="001E7DCF"/>
    <w:rsid w:val="001F1A46"/>
    <w:rsid w:val="001F3BDB"/>
    <w:rsid w:val="001F73DF"/>
    <w:rsid w:val="001F75CB"/>
    <w:rsid w:val="001F7B76"/>
    <w:rsid w:val="00200194"/>
    <w:rsid w:val="00203AC7"/>
    <w:rsid w:val="00207CAC"/>
    <w:rsid w:val="00210B65"/>
    <w:rsid w:val="002133E6"/>
    <w:rsid w:val="00214BB2"/>
    <w:rsid w:val="00217F31"/>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78A"/>
    <w:rsid w:val="002508F2"/>
    <w:rsid w:val="002510BF"/>
    <w:rsid w:val="00253295"/>
    <w:rsid w:val="00253F36"/>
    <w:rsid w:val="00256D32"/>
    <w:rsid w:val="00260069"/>
    <w:rsid w:val="0026368B"/>
    <w:rsid w:val="002668FE"/>
    <w:rsid w:val="00270F35"/>
    <w:rsid w:val="00274460"/>
    <w:rsid w:val="002814CF"/>
    <w:rsid w:val="002829EF"/>
    <w:rsid w:val="002878F6"/>
    <w:rsid w:val="00290353"/>
    <w:rsid w:val="0029269B"/>
    <w:rsid w:val="002951E3"/>
    <w:rsid w:val="002952F6"/>
    <w:rsid w:val="00296B9B"/>
    <w:rsid w:val="0029786F"/>
    <w:rsid w:val="002A08F8"/>
    <w:rsid w:val="002A4764"/>
    <w:rsid w:val="002A4F8A"/>
    <w:rsid w:val="002A6510"/>
    <w:rsid w:val="002A6A5C"/>
    <w:rsid w:val="002B0065"/>
    <w:rsid w:val="002B1DCE"/>
    <w:rsid w:val="002B4F04"/>
    <w:rsid w:val="002B67A1"/>
    <w:rsid w:val="002C369C"/>
    <w:rsid w:val="002D10C3"/>
    <w:rsid w:val="002D10D4"/>
    <w:rsid w:val="002D2F64"/>
    <w:rsid w:val="002D3B1A"/>
    <w:rsid w:val="002D480C"/>
    <w:rsid w:val="002D588F"/>
    <w:rsid w:val="002E5B16"/>
    <w:rsid w:val="002E6EE6"/>
    <w:rsid w:val="002E6F7F"/>
    <w:rsid w:val="002F1CF8"/>
    <w:rsid w:val="002F1E95"/>
    <w:rsid w:val="002F54E1"/>
    <w:rsid w:val="00301D54"/>
    <w:rsid w:val="003120D2"/>
    <w:rsid w:val="00315137"/>
    <w:rsid w:val="00315515"/>
    <w:rsid w:val="003175DF"/>
    <w:rsid w:val="003179B5"/>
    <w:rsid w:val="003206DB"/>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633C"/>
    <w:rsid w:val="00360D7A"/>
    <w:rsid w:val="00362864"/>
    <w:rsid w:val="00364207"/>
    <w:rsid w:val="003654DF"/>
    <w:rsid w:val="003674A3"/>
    <w:rsid w:val="00376697"/>
    <w:rsid w:val="00376FDF"/>
    <w:rsid w:val="00377E50"/>
    <w:rsid w:val="00381991"/>
    <w:rsid w:val="00384643"/>
    <w:rsid w:val="003857AB"/>
    <w:rsid w:val="00390079"/>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138"/>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8348B"/>
    <w:rsid w:val="00487760"/>
    <w:rsid w:val="00490628"/>
    <w:rsid w:val="00491D09"/>
    <w:rsid w:val="00495081"/>
    <w:rsid w:val="004966C5"/>
    <w:rsid w:val="004A5DBB"/>
    <w:rsid w:val="004A628C"/>
    <w:rsid w:val="004A7DA6"/>
    <w:rsid w:val="004B6432"/>
    <w:rsid w:val="004C4B9C"/>
    <w:rsid w:val="004C67E5"/>
    <w:rsid w:val="004C7602"/>
    <w:rsid w:val="004C7948"/>
    <w:rsid w:val="004D2754"/>
    <w:rsid w:val="004D305E"/>
    <w:rsid w:val="004D4EEF"/>
    <w:rsid w:val="004D5B27"/>
    <w:rsid w:val="004D5F3C"/>
    <w:rsid w:val="004D7718"/>
    <w:rsid w:val="004E0341"/>
    <w:rsid w:val="004E0973"/>
    <w:rsid w:val="004E1A76"/>
    <w:rsid w:val="004E53B7"/>
    <w:rsid w:val="004E5A7E"/>
    <w:rsid w:val="004E622C"/>
    <w:rsid w:val="004F150D"/>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76C7"/>
    <w:rsid w:val="00537CF6"/>
    <w:rsid w:val="00543E51"/>
    <w:rsid w:val="00544A84"/>
    <w:rsid w:val="00550E63"/>
    <w:rsid w:val="005514A6"/>
    <w:rsid w:val="005516A0"/>
    <w:rsid w:val="005516E9"/>
    <w:rsid w:val="00554C47"/>
    <w:rsid w:val="0055540C"/>
    <w:rsid w:val="00555832"/>
    <w:rsid w:val="00560C0E"/>
    <w:rsid w:val="00560EF2"/>
    <w:rsid w:val="00561D6B"/>
    <w:rsid w:val="00565A52"/>
    <w:rsid w:val="00567898"/>
    <w:rsid w:val="0057038C"/>
    <w:rsid w:val="005719A8"/>
    <w:rsid w:val="00572789"/>
    <w:rsid w:val="005735F8"/>
    <w:rsid w:val="00580095"/>
    <w:rsid w:val="00581916"/>
    <w:rsid w:val="00583BE0"/>
    <w:rsid w:val="00584DB5"/>
    <w:rsid w:val="0058702B"/>
    <w:rsid w:val="00587C01"/>
    <w:rsid w:val="00592441"/>
    <w:rsid w:val="00594891"/>
    <w:rsid w:val="005967DC"/>
    <w:rsid w:val="005B281B"/>
    <w:rsid w:val="005B3A79"/>
    <w:rsid w:val="005B4A0B"/>
    <w:rsid w:val="005B56C6"/>
    <w:rsid w:val="005B5F6F"/>
    <w:rsid w:val="005B6CF7"/>
    <w:rsid w:val="005B70D2"/>
    <w:rsid w:val="005B7DBD"/>
    <w:rsid w:val="005C0100"/>
    <w:rsid w:val="005C4603"/>
    <w:rsid w:val="005C557F"/>
    <w:rsid w:val="005C5CF9"/>
    <w:rsid w:val="005C6DEE"/>
    <w:rsid w:val="005D124B"/>
    <w:rsid w:val="005D19E1"/>
    <w:rsid w:val="005D3AD4"/>
    <w:rsid w:val="005D3BC6"/>
    <w:rsid w:val="005D5974"/>
    <w:rsid w:val="005D6057"/>
    <w:rsid w:val="005D780B"/>
    <w:rsid w:val="005D7B8B"/>
    <w:rsid w:val="005E23F7"/>
    <w:rsid w:val="005E24CB"/>
    <w:rsid w:val="005E44C1"/>
    <w:rsid w:val="005F219F"/>
    <w:rsid w:val="005F5C2A"/>
    <w:rsid w:val="00600AD5"/>
    <w:rsid w:val="006020A5"/>
    <w:rsid w:val="006031D6"/>
    <w:rsid w:val="00604033"/>
    <w:rsid w:val="00604BDF"/>
    <w:rsid w:val="00605D2D"/>
    <w:rsid w:val="006067AC"/>
    <w:rsid w:val="00610BF4"/>
    <w:rsid w:val="00612720"/>
    <w:rsid w:val="00615068"/>
    <w:rsid w:val="0062392B"/>
    <w:rsid w:val="00632759"/>
    <w:rsid w:val="00637950"/>
    <w:rsid w:val="00641D5C"/>
    <w:rsid w:val="006426FD"/>
    <w:rsid w:val="006429EB"/>
    <w:rsid w:val="0064362A"/>
    <w:rsid w:val="00646D07"/>
    <w:rsid w:val="006532E8"/>
    <w:rsid w:val="00655798"/>
    <w:rsid w:val="0066217E"/>
    <w:rsid w:val="00672DA0"/>
    <w:rsid w:val="00672DCD"/>
    <w:rsid w:val="00680230"/>
    <w:rsid w:val="006805C1"/>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4D0D"/>
    <w:rsid w:val="006D42E1"/>
    <w:rsid w:val="006D5533"/>
    <w:rsid w:val="006D569F"/>
    <w:rsid w:val="006D7E52"/>
    <w:rsid w:val="006E0EF1"/>
    <w:rsid w:val="006E2DE6"/>
    <w:rsid w:val="00700BF4"/>
    <w:rsid w:val="00702866"/>
    <w:rsid w:val="00704D45"/>
    <w:rsid w:val="00705E93"/>
    <w:rsid w:val="00706B9F"/>
    <w:rsid w:val="007072E0"/>
    <w:rsid w:val="007108B3"/>
    <w:rsid w:val="00710FF7"/>
    <w:rsid w:val="007163BC"/>
    <w:rsid w:val="00720851"/>
    <w:rsid w:val="00720973"/>
    <w:rsid w:val="00720B54"/>
    <w:rsid w:val="00721A2B"/>
    <w:rsid w:val="00722264"/>
    <w:rsid w:val="00725409"/>
    <w:rsid w:val="00725EA1"/>
    <w:rsid w:val="00730729"/>
    <w:rsid w:val="007325CC"/>
    <w:rsid w:val="00735090"/>
    <w:rsid w:val="0073609F"/>
    <w:rsid w:val="00737D8D"/>
    <w:rsid w:val="007451BB"/>
    <w:rsid w:val="00753559"/>
    <w:rsid w:val="007540F4"/>
    <w:rsid w:val="00756399"/>
    <w:rsid w:val="00756E5C"/>
    <w:rsid w:val="0076705E"/>
    <w:rsid w:val="00771BCA"/>
    <w:rsid w:val="00771E17"/>
    <w:rsid w:val="00772F4A"/>
    <w:rsid w:val="00775FD4"/>
    <w:rsid w:val="0078208E"/>
    <w:rsid w:val="0078238E"/>
    <w:rsid w:val="00786BC7"/>
    <w:rsid w:val="00786DFB"/>
    <w:rsid w:val="007870A7"/>
    <w:rsid w:val="007906EC"/>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270"/>
    <w:rsid w:val="007B5B17"/>
    <w:rsid w:val="007B5D80"/>
    <w:rsid w:val="007C247A"/>
    <w:rsid w:val="007C46B5"/>
    <w:rsid w:val="007C4D52"/>
    <w:rsid w:val="007C515F"/>
    <w:rsid w:val="007D05C8"/>
    <w:rsid w:val="007D0A46"/>
    <w:rsid w:val="007D44A1"/>
    <w:rsid w:val="007E01EB"/>
    <w:rsid w:val="007E0C78"/>
    <w:rsid w:val="007E1C59"/>
    <w:rsid w:val="007E63FA"/>
    <w:rsid w:val="007F2205"/>
    <w:rsid w:val="007F47FF"/>
    <w:rsid w:val="007F5E73"/>
    <w:rsid w:val="007F6A8D"/>
    <w:rsid w:val="00802B72"/>
    <w:rsid w:val="00802F09"/>
    <w:rsid w:val="0080316A"/>
    <w:rsid w:val="00812A16"/>
    <w:rsid w:val="008154AC"/>
    <w:rsid w:val="00816887"/>
    <w:rsid w:val="008168C7"/>
    <w:rsid w:val="00817121"/>
    <w:rsid w:val="00817DF7"/>
    <w:rsid w:val="008209E1"/>
    <w:rsid w:val="00824D4A"/>
    <w:rsid w:val="008269EF"/>
    <w:rsid w:val="0082781C"/>
    <w:rsid w:val="00832D3A"/>
    <w:rsid w:val="00833336"/>
    <w:rsid w:val="00833532"/>
    <w:rsid w:val="00833BEE"/>
    <w:rsid w:val="00836191"/>
    <w:rsid w:val="008375A6"/>
    <w:rsid w:val="0084214C"/>
    <w:rsid w:val="00842B39"/>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0786"/>
    <w:rsid w:val="008B2A7E"/>
    <w:rsid w:val="008C36D4"/>
    <w:rsid w:val="008C4013"/>
    <w:rsid w:val="008C402E"/>
    <w:rsid w:val="008C541A"/>
    <w:rsid w:val="008C5D6B"/>
    <w:rsid w:val="008C76E0"/>
    <w:rsid w:val="008C76E1"/>
    <w:rsid w:val="008D483E"/>
    <w:rsid w:val="008E063E"/>
    <w:rsid w:val="008E100A"/>
    <w:rsid w:val="008E647D"/>
    <w:rsid w:val="008E7033"/>
    <w:rsid w:val="008E776F"/>
    <w:rsid w:val="008F405E"/>
    <w:rsid w:val="008F431D"/>
    <w:rsid w:val="008F60FF"/>
    <w:rsid w:val="008F64D1"/>
    <w:rsid w:val="008F7FE9"/>
    <w:rsid w:val="0090276F"/>
    <w:rsid w:val="00904ED7"/>
    <w:rsid w:val="00907168"/>
    <w:rsid w:val="00914B49"/>
    <w:rsid w:val="00915D90"/>
    <w:rsid w:val="009229D6"/>
    <w:rsid w:val="00932E72"/>
    <w:rsid w:val="00932FD0"/>
    <w:rsid w:val="00935B9B"/>
    <w:rsid w:val="00937DAD"/>
    <w:rsid w:val="00941156"/>
    <w:rsid w:val="00945411"/>
    <w:rsid w:val="009459C8"/>
    <w:rsid w:val="00946B30"/>
    <w:rsid w:val="00951A65"/>
    <w:rsid w:val="00954FCE"/>
    <w:rsid w:val="00956074"/>
    <w:rsid w:val="0095799F"/>
    <w:rsid w:val="00960656"/>
    <w:rsid w:val="00961ABB"/>
    <w:rsid w:val="009621F0"/>
    <w:rsid w:val="00964DF8"/>
    <w:rsid w:val="009739CB"/>
    <w:rsid w:val="009749BE"/>
    <w:rsid w:val="009750A0"/>
    <w:rsid w:val="00980682"/>
    <w:rsid w:val="00980D1D"/>
    <w:rsid w:val="009832A4"/>
    <w:rsid w:val="00994EE5"/>
    <w:rsid w:val="009956BD"/>
    <w:rsid w:val="00995CB5"/>
    <w:rsid w:val="009A3F6F"/>
    <w:rsid w:val="009A4AC4"/>
    <w:rsid w:val="009A544B"/>
    <w:rsid w:val="009A55FB"/>
    <w:rsid w:val="009A5EF4"/>
    <w:rsid w:val="009B03C0"/>
    <w:rsid w:val="009B0583"/>
    <w:rsid w:val="009B43C8"/>
    <w:rsid w:val="009B45EE"/>
    <w:rsid w:val="009B492D"/>
    <w:rsid w:val="009B6B48"/>
    <w:rsid w:val="009C0363"/>
    <w:rsid w:val="009C05F7"/>
    <w:rsid w:val="009C68E1"/>
    <w:rsid w:val="009C6C42"/>
    <w:rsid w:val="009D0CCB"/>
    <w:rsid w:val="009D3004"/>
    <w:rsid w:val="009D3FE8"/>
    <w:rsid w:val="009D4327"/>
    <w:rsid w:val="009D4A1C"/>
    <w:rsid w:val="009E0316"/>
    <w:rsid w:val="009E34A3"/>
    <w:rsid w:val="009E3884"/>
    <w:rsid w:val="009E6171"/>
    <w:rsid w:val="009F00E2"/>
    <w:rsid w:val="009F0E1C"/>
    <w:rsid w:val="009F1183"/>
    <w:rsid w:val="009F28C1"/>
    <w:rsid w:val="009F3847"/>
    <w:rsid w:val="00A00F6C"/>
    <w:rsid w:val="00A0255D"/>
    <w:rsid w:val="00A044C0"/>
    <w:rsid w:val="00A04C6D"/>
    <w:rsid w:val="00A17C81"/>
    <w:rsid w:val="00A20ED8"/>
    <w:rsid w:val="00A2350B"/>
    <w:rsid w:val="00A2522B"/>
    <w:rsid w:val="00A273BC"/>
    <w:rsid w:val="00A27C14"/>
    <w:rsid w:val="00A309F3"/>
    <w:rsid w:val="00A32619"/>
    <w:rsid w:val="00A3466C"/>
    <w:rsid w:val="00A35E22"/>
    <w:rsid w:val="00A3609B"/>
    <w:rsid w:val="00A377AE"/>
    <w:rsid w:val="00A42916"/>
    <w:rsid w:val="00A43258"/>
    <w:rsid w:val="00A459AF"/>
    <w:rsid w:val="00A47446"/>
    <w:rsid w:val="00A53708"/>
    <w:rsid w:val="00A60343"/>
    <w:rsid w:val="00A61F74"/>
    <w:rsid w:val="00A641EE"/>
    <w:rsid w:val="00A65FAD"/>
    <w:rsid w:val="00A67461"/>
    <w:rsid w:val="00A75046"/>
    <w:rsid w:val="00A77B1C"/>
    <w:rsid w:val="00A802A8"/>
    <w:rsid w:val="00A82AA8"/>
    <w:rsid w:val="00A92609"/>
    <w:rsid w:val="00A93395"/>
    <w:rsid w:val="00A94A3A"/>
    <w:rsid w:val="00A95EC5"/>
    <w:rsid w:val="00A96261"/>
    <w:rsid w:val="00AA1AE3"/>
    <w:rsid w:val="00AA2C6F"/>
    <w:rsid w:val="00AA39D3"/>
    <w:rsid w:val="00AA5718"/>
    <w:rsid w:val="00AB1629"/>
    <w:rsid w:val="00AB2280"/>
    <w:rsid w:val="00AB37A2"/>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76A3"/>
    <w:rsid w:val="00AF0962"/>
    <w:rsid w:val="00AF3F2E"/>
    <w:rsid w:val="00AF712C"/>
    <w:rsid w:val="00B008E5"/>
    <w:rsid w:val="00B033F4"/>
    <w:rsid w:val="00B03F4D"/>
    <w:rsid w:val="00B04903"/>
    <w:rsid w:val="00B05097"/>
    <w:rsid w:val="00B0579A"/>
    <w:rsid w:val="00B0724B"/>
    <w:rsid w:val="00B1130A"/>
    <w:rsid w:val="00B12649"/>
    <w:rsid w:val="00B13715"/>
    <w:rsid w:val="00B13A68"/>
    <w:rsid w:val="00B15621"/>
    <w:rsid w:val="00B158A5"/>
    <w:rsid w:val="00B166F6"/>
    <w:rsid w:val="00B23C95"/>
    <w:rsid w:val="00B252CA"/>
    <w:rsid w:val="00B2537B"/>
    <w:rsid w:val="00B27ABC"/>
    <w:rsid w:val="00B32907"/>
    <w:rsid w:val="00B3290F"/>
    <w:rsid w:val="00B34C29"/>
    <w:rsid w:val="00B355D4"/>
    <w:rsid w:val="00B36A62"/>
    <w:rsid w:val="00B4080D"/>
    <w:rsid w:val="00B43F8E"/>
    <w:rsid w:val="00B4645C"/>
    <w:rsid w:val="00B51539"/>
    <w:rsid w:val="00B52776"/>
    <w:rsid w:val="00B56A72"/>
    <w:rsid w:val="00B57645"/>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A2824"/>
    <w:rsid w:val="00BB00FB"/>
    <w:rsid w:val="00BB094C"/>
    <w:rsid w:val="00BB6B1C"/>
    <w:rsid w:val="00BB6CC1"/>
    <w:rsid w:val="00BC2611"/>
    <w:rsid w:val="00BC3123"/>
    <w:rsid w:val="00BC5054"/>
    <w:rsid w:val="00BC5613"/>
    <w:rsid w:val="00BD0AAE"/>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5320"/>
    <w:rsid w:val="00C26517"/>
    <w:rsid w:val="00C27987"/>
    <w:rsid w:val="00C307D7"/>
    <w:rsid w:val="00C30936"/>
    <w:rsid w:val="00C3179C"/>
    <w:rsid w:val="00C31D90"/>
    <w:rsid w:val="00C3374F"/>
    <w:rsid w:val="00C354E0"/>
    <w:rsid w:val="00C409EC"/>
    <w:rsid w:val="00C45EC6"/>
    <w:rsid w:val="00C47E84"/>
    <w:rsid w:val="00C527C8"/>
    <w:rsid w:val="00C552E2"/>
    <w:rsid w:val="00C60CB2"/>
    <w:rsid w:val="00C615AD"/>
    <w:rsid w:val="00C616B3"/>
    <w:rsid w:val="00C623EC"/>
    <w:rsid w:val="00C6254D"/>
    <w:rsid w:val="00C62D6D"/>
    <w:rsid w:val="00C6398F"/>
    <w:rsid w:val="00C6592F"/>
    <w:rsid w:val="00C7105B"/>
    <w:rsid w:val="00C77A9E"/>
    <w:rsid w:val="00C80A6A"/>
    <w:rsid w:val="00C860FC"/>
    <w:rsid w:val="00C86195"/>
    <w:rsid w:val="00C86BBC"/>
    <w:rsid w:val="00C906C5"/>
    <w:rsid w:val="00C92EC4"/>
    <w:rsid w:val="00C95B95"/>
    <w:rsid w:val="00C96DC5"/>
    <w:rsid w:val="00CA1A13"/>
    <w:rsid w:val="00CA1A3C"/>
    <w:rsid w:val="00CB7067"/>
    <w:rsid w:val="00CC07E6"/>
    <w:rsid w:val="00CC0E49"/>
    <w:rsid w:val="00CC47E3"/>
    <w:rsid w:val="00CC4F4C"/>
    <w:rsid w:val="00CD39D6"/>
    <w:rsid w:val="00CD46E7"/>
    <w:rsid w:val="00CE00E3"/>
    <w:rsid w:val="00CE1FC7"/>
    <w:rsid w:val="00CE35A8"/>
    <w:rsid w:val="00CE5552"/>
    <w:rsid w:val="00CF146F"/>
    <w:rsid w:val="00CF22F9"/>
    <w:rsid w:val="00CF4C26"/>
    <w:rsid w:val="00CF68EE"/>
    <w:rsid w:val="00D01AC4"/>
    <w:rsid w:val="00D03176"/>
    <w:rsid w:val="00D03678"/>
    <w:rsid w:val="00D03FE9"/>
    <w:rsid w:val="00D04CD6"/>
    <w:rsid w:val="00D068C3"/>
    <w:rsid w:val="00D07D66"/>
    <w:rsid w:val="00D11634"/>
    <w:rsid w:val="00D1424D"/>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637B"/>
    <w:rsid w:val="00D763D9"/>
    <w:rsid w:val="00D817CA"/>
    <w:rsid w:val="00D82ABB"/>
    <w:rsid w:val="00D85112"/>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C571A"/>
    <w:rsid w:val="00DD03E9"/>
    <w:rsid w:val="00DD45F9"/>
    <w:rsid w:val="00DD47A5"/>
    <w:rsid w:val="00DD63E4"/>
    <w:rsid w:val="00DD64FB"/>
    <w:rsid w:val="00DE17D3"/>
    <w:rsid w:val="00DE3592"/>
    <w:rsid w:val="00DE49C2"/>
    <w:rsid w:val="00DE5DEE"/>
    <w:rsid w:val="00DF006D"/>
    <w:rsid w:val="00DF384E"/>
    <w:rsid w:val="00DF754C"/>
    <w:rsid w:val="00DF7EA9"/>
    <w:rsid w:val="00E01F97"/>
    <w:rsid w:val="00E02D37"/>
    <w:rsid w:val="00E03633"/>
    <w:rsid w:val="00E1553B"/>
    <w:rsid w:val="00E16E2E"/>
    <w:rsid w:val="00E220D4"/>
    <w:rsid w:val="00E222C8"/>
    <w:rsid w:val="00E234C7"/>
    <w:rsid w:val="00E2421A"/>
    <w:rsid w:val="00E259AB"/>
    <w:rsid w:val="00E25BF0"/>
    <w:rsid w:val="00E3253D"/>
    <w:rsid w:val="00E34917"/>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5A1C"/>
    <w:rsid w:val="00E77420"/>
    <w:rsid w:val="00E8054F"/>
    <w:rsid w:val="00E82AB3"/>
    <w:rsid w:val="00E86389"/>
    <w:rsid w:val="00E86F24"/>
    <w:rsid w:val="00E90277"/>
    <w:rsid w:val="00E96992"/>
    <w:rsid w:val="00E97BBC"/>
    <w:rsid w:val="00EA49A1"/>
    <w:rsid w:val="00EB02C0"/>
    <w:rsid w:val="00EB0A16"/>
    <w:rsid w:val="00EB0B32"/>
    <w:rsid w:val="00EB155A"/>
    <w:rsid w:val="00EB216E"/>
    <w:rsid w:val="00EB31CE"/>
    <w:rsid w:val="00EB38CD"/>
    <w:rsid w:val="00EB710E"/>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F0502"/>
    <w:rsid w:val="00EF091A"/>
    <w:rsid w:val="00EF0B8B"/>
    <w:rsid w:val="00EF27EE"/>
    <w:rsid w:val="00EF53D7"/>
    <w:rsid w:val="00F00658"/>
    <w:rsid w:val="00F03066"/>
    <w:rsid w:val="00F033F5"/>
    <w:rsid w:val="00F07172"/>
    <w:rsid w:val="00F1257F"/>
    <w:rsid w:val="00F20826"/>
    <w:rsid w:val="00F21808"/>
    <w:rsid w:val="00F22451"/>
    <w:rsid w:val="00F25366"/>
    <w:rsid w:val="00F27054"/>
    <w:rsid w:val="00F27635"/>
    <w:rsid w:val="00F320F9"/>
    <w:rsid w:val="00F322D8"/>
    <w:rsid w:val="00F41270"/>
    <w:rsid w:val="00F413AD"/>
    <w:rsid w:val="00F44E14"/>
    <w:rsid w:val="00F4528A"/>
    <w:rsid w:val="00F526B0"/>
    <w:rsid w:val="00F53BE2"/>
    <w:rsid w:val="00F553A0"/>
    <w:rsid w:val="00F627F4"/>
    <w:rsid w:val="00F64729"/>
    <w:rsid w:val="00F6640F"/>
    <w:rsid w:val="00F6711A"/>
    <w:rsid w:val="00F67D4C"/>
    <w:rsid w:val="00F70104"/>
    <w:rsid w:val="00F736BB"/>
    <w:rsid w:val="00F81ABE"/>
    <w:rsid w:val="00F820C7"/>
    <w:rsid w:val="00F845CB"/>
    <w:rsid w:val="00F847A0"/>
    <w:rsid w:val="00F84A7E"/>
    <w:rsid w:val="00F862EC"/>
    <w:rsid w:val="00F8751A"/>
    <w:rsid w:val="00F90F24"/>
    <w:rsid w:val="00FA231E"/>
    <w:rsid w:val="00FB19D5"/>
    <w:rsid w:val="00FB1D99"/>
    <w:rsid w:val="00FB2639"/>
    <w:rsid w:val="00FB3E30"/>
    <w:rsid w:val="00FB4BCB"/>
    <w:rsid w:val="00FB512F"/>
    <w:rsid w:val="00FB6DC6"/>
    <w:rsid w:val="00FC12A9"/>
    <w:rsid w:val="00FD0AA6"/>
    <w:rsid w:val="00FD5571"/>
    <w:rsid w:val="00FD6066"/>
    <w:rsid w:val="00FD7B45"/>
    <w:rsid w:val="00FE6C35"/>
    <w:rsid w:val="00FF4A86"/>
    <w:rsid w:val="00FF672A"/>
    <w:rsid w:val="00FF6FCD"/>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DA3B4E"/>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753559"/>
    <w:rPr>
      <w:rFonts w:ascii="Frutiger 45 Light" w:hAnsi="Frutiger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2.xml><?xml version="1.0" encoding="utf-8"?>
<ds:datastoreItem xmlns:ds="http://schemas.openxmlformats.org/officeDocument/2006/customXml" ds:itemID="{247E7E15-5C7A-416D-8DC7-15E6460E495C}">
  <ds:schemaRefs>
    <ds:schemaRef ds:uri="http://purl.org/dc/dcmitype/"/>
    <ds:schemaRef ds:uri="http://purl.org/dc/terms/"/>
    <ds:schemaRef ds:uri="http://schemas.microsoft.com/office/2006/metadata/properties"/>
    <ds:schemaRef ds:uri="http://schemas.microsoft.com/office/infopath/2007/PartnerControls"/>
    <ds:schemaRef ds:uri="http://purl.org/dc/elements/1.1/"/>
    <ds:schemaRef ds:uri="c8febe6a-14d9-43ab-83c3-c48f478fa47c"/>
    <ds:schemaRef ds:uri="http://schemas.microsoft.com/office/2006/documentManagement/types"/>
    <ds:schemaRef ds:uri="http://schemas.openxmlformats.org/package/2006/metadata/core-properties"/>
    <ds:schemaRef ds:uri="1c8a0e75-f4bc-4eb4-8ed0-578eaea9e1ca"/>
    <ds:schemaRef ds:uri="http://www.w3.org/XML/1998/namespace"/>
  </ds:schemaRefs>
</ds:datastoreItem>
</file>

<file path=customXml/itemProps3.xml><?xml version="1.0" encoding="utf-8"?>
<ds:datastoreItem xmlns:ds="http://schemas.openxmlformats.org/officeDocument/2006/customXml" ds:itemID="{1FC4F620-5685-472A-953D-3A1B75FB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F75FB-B3B4-4E85-932A-77507778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709A75A4</Template>
  <TotalTime>5</TotalTime>
  <Pages>2</Pages>
  <Words>802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5139</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Felicity Harris</cp:lastModifiedBy>
  <cp:revision>5</cp:revision>
  <cp:lastPrinted>2014-07-04T12:37:00Z</cp:lastPrinted>
  <dcterms:created xsi:type="dcterms:W3CDTF">2017-01-19T08:50:00Z</dcterms:created>
  <dcterms:modified xsi:type="dcterms:W3CDTF">2017-01-23T15:40:00Z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TaxKeyword">
    <vt:lpwstr/>
  </property>
  <property fmtid="{D5CDD505-2E9C-101B-9397-08002B2CF9AE}" pid="4" name="WorkflowChangePath">
    <vt:lpwstr>24f8e0b2-4c82-4946-8ffa-848df0c0da99,2;</vt:lpwstr>
  </property>
</Properties>
</file>